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4C" w:rsidRDefault="00A9264C" w:rsidP="00A9264C">
      <w:pPr>
        <w:spacing w:after="0"/>
        <w:rPr>
          <w:sz w:val="28"/>
          <w:szCs w:val="28"/>
        </w:rPr>
      </w:pPr>
      <w:r w:rsidRPr="00A9264C">
        <w:rPr>
          <w:b/>
          <w:sz w:val="28"/>
          <w:szCs w:val="28"/>
        </w:rPr>
        <w:t>Time Capsule Analysis Sheet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Name:</w:t>
      </w:r>
    </w:p>
    <w:p w:rsidR="00A9264C" w:rsidRDefault="00A9264C" w:rsidP="00A9264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Group:</w:t>
      </w:r>
    </w:p>
    <w:p w:rsidR="00E17A4D" w:rsidRPr="00E17A4D" w:rsidRDefault="00E17A4D" w:rsidP="00E17A4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Directions:  </w:t>
      </w:r>
      <w:r w:rsidRPr="00E17A4D">
        <w:rPr>
          <w:sz w:val="28"/>
          <w:szCs w:val="28"/>
        </w:rPr>
        <w:t xml:space="preserve">For each item found in your time capsule, based on your knowledge of the Children’s March (you may use your notes and resources), list </w:t>
      </w:r>
      <w:r>
        <w:rPr>
          <w:sz w:val="28"/>
          <w:szCs w:val="28"/>
        </w:rPr>
        <w:t xml:space="preserve">descriptive </w:t>
      </w:r>
      <w:r w:rsidRPr="00E17A4D">
        <w:rPr>
          <w:sz w:val="28"/>
          <w:szCs w:val="28"/>
        </w:rPr>
        <w:t>char</w:t>
      </w:r>
      <w:r>
        <w:rPr>
          <w:sz w:val="28"/>
          <w:szCs w:val="28"/>
        </w:rPr>
        <w:t>a</w:t>
      </w:r>
      <w:r w:rsidRPr="00E17A4D">
        <w:rPr>
          <w:sz w:val="28"/>
          <w:szCs w:val="28"/>
        </w:rPr>
        <w:t xml:space="preserve">cteristics for each item </w:t>
      </w:r>
      <w:r>
        <w:rPr>
          <w:sz w:val="28"/>
          <w:szCs w:val="28"/>
        </w:rPr>
        <w:t>(</w:t>
      </w:r>
      <w:r w:rsidRPr="00E17A4D">
        <w:rPr>
          <w:sz w:val="28"/>
          <w:szCs w:val="28"/>
        </w:rPr>
        <w:t>in the Description column</w:t>
      </w:r>
      <w:r>
        <w:rPr>
          <w:sz w:val="28"/>
          <w:szCs w:val="28"/>
        </w:rPr>
        <w:t>)</w:t>
      </w:r>
      <w:r w:rsidRPr="00E17A4D">
        <w:rPr>
          <w:sz w:val="28"/>
          <w:szCs w:val="28"/>
        </w:rPr>
        <w:t xml:space="preserve"> and identify why that item was important to the Children’s March (in the Importance to the March column).</w:t>
      </w:r>
    </w:p>
    <w:p w:rsidR="00A9264C" w:rsidRPr="00A9264C" w:rsidRDefault="00A9264C" w:rsidP="00A9264C">
      <w:pPr>
        <w:spacing w:after="0"/>
        <w:rPr>
          <w:b/>
          <w:sz w:val="28"/>
          <w:szCs w:val="28"/>
        </w:rPr>
      </w:pPr>
      <w:r w:rsidRPr="00A9264C">
        <w:rPr>
          <w:b/>
          <w:sz w:val="28"/>
          <w:szCs w:val="28"/>
        </w:rPr>
        <w:t>Part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72"/>
        <w:gridCol w:w="3672"/>
        <w:gridCol w:w="3672"/>
      </w:tblGrid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Item</w:t>
            </w: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Description</w:t>
            </w: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Importance</w:t>
            </w:r>
            <w:r w:rsidR="00E17A4D">
              <w:rPr>
                <w:b/>
                <w:sz w:val="26"/>
                <w:szCs w:val="26"/>
              </w:rPr>
              <w:t xml:space="preserve"> to the March</w:t>
            </w:r>
          </w:p>
        </w:tc>
      </w:tr>
      <w:tr w:rsidR="00A9264C" w:rsidRPr="00A9264C" w:rsidTr="00A9264C">
        <w:tc>
          <w:tcPr>
            <w:tcW w:w="3672" w:type="dxa"/>
          </w:tcPr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Worn child’s shoe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German Shepard</w:t>
            </w: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Church hymnal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Handcuffs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Gavel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Two water fountains</w:t>
            </w: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Camera</w:t>
            </w: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Fred Shuttlesworth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16th St Baptist Church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Kelly Ingram Park</w:t>
            </w:r>
          </w:p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41364D" w:rsidRDefault="00A9264C" w:rsidP="0041364D">
            <w:pPr>
              <w:pStyle w:val="NoSpacing"/>
              <w:rPr>
                <w:sz w:val="24"/>
                <w:szCs w:val="24"/>
              </w:rPr>
            </w:pPr>
          </w:p>
          <w:p w:rsidR="00A9264C" w:rsidRPr="0041364D" w:rsidRDefault="0041364D" w:rsidP="0041364D">
            <w:pPr>
              <w:pStyle w:val="NoSpacing"/>
              <w:rPr>
                <w:i/>
                <w:sz w:val="24"/>
                <w:szCs w:val="24"/>
              </w:rPr>
            </w:pPr>
            <w:r w:rsidRPr="0041364D">
              <w:rPr>
                <w:i/>
                <w:sz w:val="24"/>
                <w:szCs w:val="24"/>
              </w:rPr>
              <w:t>Constitution of the United States</w:t>
            </w: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Car headlight</w:t>
            </w:r>
            <w:r>
              <w:rPr>
                <w:sz w:val="24"/>
                <w:szCs w:val="24"/>
              </w:rPr>
              <w:t>s</w:t>
            </w:r>
          </w:p>
          <w:p w:rsidR="0041364D" w:rsidRPr="0041364D" w:rsidRDefault="0041364D" w:rsidP="0041364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9264C" w:rsidRPr="0041364D" w:rsidRDefault="00A9264C" w:rsidP="00A9264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9264C" w:rsidRDefault="00A9264C" w:rsidP="00A9264C">
      <w:pPr>
        <w:spacing w:after="0"/>
        <w:rPr>
          <w:b/>
          <w:sz w:val="28"/>
          <w:szCs w:val="28"/>
        </w:rPr>
      </w:pPr>
    </w:p>
    <w:p w:rsidR="000A4128" w:rsidRPr="00A9264C" w:rsidRDefault="000A4128" w:rsidP="000A4128">
      <w:pPr>
        <w:spacing w:after="0"/>
        <w:rPr>
          <w:b/>
          <w:sz w:val="28"/>
          <w:szCs w:val="28"/>
        </w:rPr>
      </w:pPr>
      <w:r w:rsidRPr="00A9264C">
        <w:rPr>
          <w:b/>
          <w:sz w:val="28"/>
          <w:szCs w:val="28"/>
        </w:rPr>
        <w:lastRenderedPageBreak/>
        <w:t>Part 1</w:t>
      </w:r>
      <w:r>
        <w:rPr>
          <w:b/>
          <w:sz w:val="28"/>
          <w:szCs w:val="28"/>
        </w:rPr>
        <w:t xml:space="preserve"> – Possible Answers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72"/>
        <w:gridCol w:w="3672"/>
        <w:gridCol w:w="3672"/>
      </w:tblGrid>
      <w:tr w:rsidR="000A4128" w:rsidRPr="00A9264C" w:rsidTr="00756605">
        <w:tc>
          <w:tcPr>
            <w:tcW w:w="3672" w:type="dxa"/>
          </w:tcPr>
          <w:p w:rsidR="000A4128" w:rsidRPr="00A9264C" w:rsidRDefault="000A4128" w:rsidP="00756605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Item</w:t>
            </w:r>
          </w:p>
        </w:tc>
        <w:tc>
          <w:tcPr>
            <w:tcW w:w="3672" w:type="dxa"/>
          </w:tcPr>
          <w:p w:rsidR="000A4128" w:rsidRPr="00A9264C" w:rsidRDefault="000A4128" w:rsidP="00756605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Description</w:t>
            </w:r>
          </w:p>
        </w:tc>
        <w:tc>
          <w:tcPr>
            <w:tcW w:w="3672" w:type="dxa"/>
          </w:tcPr>
          <w:p w:rsidR="000A4128" w:rsidRPr="00A9264C" w:rsidRDefault="000A4128" w:rsidP="00756605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9264C">
              <w:rPr>
                <w:b/>
                <w:sz w:val="26"/>
                <w:szCs w:val="26"/>
              </w:rPr>
              <w:t>Importance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Worn child’s shoe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Marching</w:t>
            </w:r>
          </w:p>
          <w:p w:rsidR="000A4128" w:rsidRPr="00E17A4D" w:rsidRDefault="000A4128" w:rsidP="00756605">
            <w:pPr>
              <w:spacing w:after="0" w:line="240" w:lineRule="auto"/>
            </w:pPr>
            <w:r w:rsidRPr="00E17A4D">
              <w:t>Age of participants</w:t>
            </w:r>
          </w:p>
          <w:p w:rsidR="000A4128" w:rsidRPr="00E17A4D" w:rsidRDefault="000A4128" w:rsidP="00756605">
            <w:pPr>
              <w:spacing w:after="0" w:line="240" w:lineRule="auto"/>
            </w:pPr>
            <w:r w:rsidRPr="00E17A4D">
              <w:t>Income level of members of black community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German Shepard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Dogs released/commanded by police to attack nonviolent children, both protesters and bystanders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Church hymnal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Importance of religion to the people and the movement; religious songs that were sung throughout the movement, providing strength and encouragement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Handcuffs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The children being arrested by the hundreds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Gavel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Some of the students were charged and found guilty; federal courts declared segregation laws unconstitutional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Two water fountains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Represents the separate facilities for blacks and whites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Camera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Images broadcast on TV and published in newspapers throughout the United States and the world, bringing attention to the brutality inflicted upon the non-violent, black protesters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Fred Shuttlesworth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Key leader of the Civil Rights Movement in Birmingham; was reluctant to use children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16th St Baptist Church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Where many of the meetings took place planning the march; where the children congregated and left for the march, fifty at a time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Kelly Ingram Park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Located across the street from the 16</w:t>
            </w:r>
            <w:r w:rsidRPr="00E17A4D">
              <w:rPr>
                <w:vertAlign w:val="superscript"/>
              </w:rPr>
              <w:t>th</w:t>
            </w:r>
            <w:r w:rsidRPr="00E17A4D">
              <w:t xml:space="preserve"> Street Baptist Church, where students were attacked and arrested during the march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i/>
                <w:sz w:val="24"/>
                <w:szCs w:val="24"/>
              </w:rPr>
            </w:pPr>
            <w:r w:rsidRPr="0041364D">
              <w:rPr>
                <w:i/>
                <w:sz w:val="24"/>
                <w:szCs w:val="24"/>
              </w:rPr>
              <w:t>Constitution of the United States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>The plan of government for the United states of America that spells out the rights guaranteed all Americans</w:t>
            </w:r>
          </w:p>
        </w:tc>
      </w:tr>
      <w:tr w:rsidR="000A4128" w:rsidRPr="00A9264C" w:rsidTr="00756605">
        <w:tc>
          <w:tcPr>
            <w:tcW w:w="3672" w:type="dxa"/>
          </w:tcPr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  <w:r w:rsidRPr="0041364D">
              <w:rPr>
                <w:sz w:val="24"/>
                <w:szCs w:val="24"/>
              </w:rPr>
              <w:t>Car headlight</w:t>
            </w:r>
            <w:r>
              <w:rPr>
                <w:sz w:val="24"/>
                <w:szCs w:val="24"/>
              </w:rPr>
              <w:t>s</w:t>
            </w:r>
          </w:p>
          <w:p w:rsidR="000A4128" w:rsidRPr="0041364D" w:rsidRDefault="000A4128" w:rsidP="0075660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41364D" w:rsidRDefault="000A4128" w:rsidP="007566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0A4128" w:rsidRPr="00E17A4D" w:rsidRDefault="000A4128" w:rsidP="00756605">
            <w:pPr>
              <w:spacing w:after="0" w:line="240" w:lineRule="auto"/>
            </w:pPr>
            <w:r w:rsidRPr="00E17A4D">
              <w:t xml:space="preserve">Represented the night riders and the fear and intimidation </w:t>
            </w:r>
            <w:r w:rsidR="00E17A4D" w:rsidRPr="00E17A4D">
              <w:t xml:space="preserve">that they </w:t>
            </w:r>
            <w:r w:rsidRPr="00E17A4D">
              <w:t>by blacks of white retaliation</w:t>
            </w:r>
          </w:p>
        </w:tc>
      </w:tr>
    </w:tbl>
    <w:p w:rsidR="00A9264C" w:rsidRDefault="00A9264C" w:rsidP="00A9264C">
      <w:pPr>
        <w:spacing w:after="0"/>
        <w:rPr>
          <w:b/>
          <w:sz w:val="28"/>
          <w:szCs w:val="28"/>
        </w:rPr>
      </w:pPr>
    </w:p>
    <w:p w:rsidR="00E17A4D" w:rsidRDefault="00E17A4D" w:rsidP="00A9264C">
      <w:pPr>
        <w:spacing w:after="0"/>
        <w:rPr>
          <w:b/>
          <w:sz w:val="28"/>
          <w:szCs w:val="28"/>
        </w:rPr>
      </w:pPr>
    </w:p>
    <w:p w:rsidR="00756605" w:rsidRPr="00756605" w:rsidRDefault="00410202" w:rsidP="00A9264C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Directions: </w:t>
      </w:r>
      <w:r w:rsidR="00756605">
        <w:rPr>
          <w:b/>
          <w:sz w:val="28"/>
          <w:szCs w:val="28"/>
        </w:rPr>
        <w:t xml:space="preserve">  </w:t>
      </w:r>
      <w:r w:rsidR="00756605" w:rsidRPr="00756605">
        <w:rPr>
          <w:sz w:val="28"/>
          <w:szCs w:val="28"/>
        </w:rPr>
        <w:t>Brainstorm five</w:t>
      </w:r>
      <w:r w:rsidR="00756605">
        <w:rPr>
          <w:sz w:val="28"/>
          <w:szCs w:val="28"/>
        </w:rPr>
        <w:t xml:space="preserve"> different</w:t>
      </w:r>
      <w:r w:rsidR="00756605" w:rsidRPr="00756605">
        <w:rPr>
          <w:sz w:val="28"/>
          <w:szCs w:val="28"/>
        </w:rPr>
        <w:t xml:space="preserve"> items that you feel help to complete the story of the Children’s March.  Discuss your ideas with your group, select 8-10 items that you</w:t>
      </w:r>
      <w:r w:rsidR="00756605">
        <w:rPr>
          <w:sz w:val="28"/>
          <w:szCs w:val="28"/>
        </w:rPr>
        <w:t xml:space="preserve"> (the group)</w:t>
      </w:r>
      <w:r w:rsidR="00756605" w:rsidRPr="00756605">
        <w:rPr>
          <w:sz w:val="28"/>
          <w:szCs w:val="28"/>
        </w:rPr>
        <w:t xml:space="preserve"> would add to the time capsule, and fill in the chart (Part 2)</w:t>
      </w:r>
      <w:r w:rsidR="00756605">
        <w:rPr>
          <w:sz w:val="28"/>
          <w:szCs w:val="28"/>
        </w:rPr>
        <w:t xml:space="preserve"> with your final answers.</w:t>
      </w:r>
    </w:p>
    <w:p w:rsidR="00410202" w:rsidRPr="00410202" w:rsidRDefault="00756605" w:rsidP="00A9264C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9264C" w:rsidRPr="00A9264C" w:rsidRDefault="00A9264C" w:rsidP="00A9264C">
      <w:pPr>
        <w:spacing w:after="0"/>
        <w:rPr>
          <w:b/>
          <w:sz w:val="28"/>
          <w:szCs w:val="28"/>
        </w:rPr>
      </w:pPr>
      <w:r w:rsidRPr="00A9264C">
        <w:rPr>
          <w:b/>
          <w:sz w:val="28"/>
          <w:szCs w:val="28"/>
        </w:rPr>
        <w:t>Part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72"/>
        <w:gridCol w:w="3672"/>
        <w:gridCol w:w="3672"/>
      </w:tblGrid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9264C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9264C"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9264C">
              <w:rPr>
                <w:b/>
                <w:sz w:val="28"/>
                <w:szCs w:val="28"/>
              </w:rPr>
              <w:t>Importance</w:t>
            </w: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9264C" w:rsidRPr="00A9264C" w:rsidTr="00A9264C"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  <w:p w:rsidR="005156A9" w:rsidRPr="00A9264C" w:rsidRDefault="005156A9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A9264C" w:rsidRPr="00A9264C" w:rsidRDefault="00A9264C" w:rsidP="00A9264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9264C" w:rsidRPr="00A9264C" w:rsidRDefault="00A9264C" w:rsidP="00A9264C">
      <w:pPr>
        <w:spacing w:after="0"/>
        <w:rPr>
          <w:sz w:val="28"/>
          <w:szCs w:val="28"/>
        </w:rPr>
      </w:pPr>
    </w:p>
    <w:sectPr w:rsidR="00A9264C" w:rsidRPr="00A9264C" w:rsidSect="00A926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E7945"/>
    <w:multiLevelType w:val="hybridMultilevel"/>
    <w:tmpl w:val="2D9C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drawingGridHorizontalSpacing w:val="110"/>
  <w:displayHorizontalDrawingGridEvery w:val="2"/>
  <w:characterSpacingControl w:val="doNotCompress"/>
  <w:compat/>
  <w:rsids>
    <w:rsidRoot w:val="00A9264C"/>
    <w:rsid w:val="000A4128"/>
    <w:rsid w:val="001C2948"/>
    <w:rsid w:val="00410202"/>
    <w:rsid w:val="0041364D"/>
    <w:rsid w:val="004D5111"/>
    <w:rsid w:val="005156A9"/>
    <w:rsid w:val="006363AF"/>
    <w:rsid w:val="00756605"/>
    <w:rsid w:val="00A9264C"/>
    <w:rsid w:val="00DB7B65"/>
    <w:rsid w:val="00E17A4D"/>
    <w:rsid w:val="00F9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6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1364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583D5-5E65-4ADB-833E-CB1A7B90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Analiese Smith</cp:lastModifiedBy>
  <cp:revision>2</cp:revision>
  <dcterms:created xsi:type="dcterms:W3CDTF">2010-08-06T21:54:00Z</dcterms:created>
  <dcterms:modified xsi:type="dcterms:W3CDTF">2010-08-06T21:54:00Z</dcterms:modified>
</cp:coreProperties>
</file>